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  <mc:AlternateContent>
          <mc:Choice Requires="wps">
            <w:drawing>
              <wp:anchor behindDoc="0" distT="0" distB="19050" distL="114300" distR="13335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058535" cy="1010285"/>
                <wp:effectExtent l="0" t="0" r="0" b="0"/>
                <wp:wrapNone/>
                <wp:docPr id="1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10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80"/>
                              <w:ind w:left="0" w:right="0" w:firstLine="210"/>
                              <w:rPr>
                                <w:rFonts w:ascii="ＭＳ ゴシック" w:hAnsi="ＭＳ ゴシック" w:eastAsia="ＭＳ ゴシック"/>
                                <w:color w:val="auto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auto"/>
                              </w:rPr>
                              <w:t>令和５年</w:t>
                            </w:r>
                            <w:r>
                              <w:rPr>
                                <w:rFonts w:eastAsia="ＭＳ ゴシック" w:ascii="ＭＳ ゴシック" w:hAnsi="ＭＳ ゴシック"/>
                                <w:color w:val="auto"/>
                              </w:rPr>
                              <w:t>10</w:t>
                            </w:r>
                            <w:r>
                              <w:rPr>
                                <w:rFonts w:ascii="ＭＳ ゴシック" w:hAnsi="ＭＳ ゴシック" w:eastAsia="ＭＳ ゴシック"/>
                                <w:color w:val="auto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FrameContents"/>
                              <w:spacing w:lineRule="exact" w:line="280"/>
                              <w:rPr>
                                <w:rFonts w:ascii="ＭＳ ゴシック" w:hAnsi="ＭＳ ゴシック" w:eastAsia="ＭＳ ゴシック"/>
                                <w:color w:val="auto"/>
                              </w:rPr>
                            </w:pPr>
                            <w:r>
                              <w:rPr>
                                <w:rFonts w:eastAsia="ＭＳ ゴシック" w:ascii="ＭＳ ゴシック" w:hAnsi="ＭＳ ゴシック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exact" w:line="280"/>
                              <w:ind w:left="0" w:right="0" w:firstLine="280"/>
                              <w:rPr/>
                            </w:pPr>
                            <w:r>
                              <w:rPr>
                                <w:rFonts w:eastAsia="ＭＳ ゴシック" w:ascii="ＭＳ ゴシック" w:hAnsi="ＭＳ ゴシック"/>
                                <w:color w:val="auto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>
                              <w:rPr>
                                <w:rFonts w:ascii="ＭＳ ゴシック" w:hAnsi="ＭＳ ゴシック" w:eastAsia="ＭＳ ゴシック"/>
                                <w:color w:val="auto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4" fillcolor="white" stroked="t" style="position:absolute;margin-left:-5.65pt;margin-top:1.7pt;width:476.95pt;height:79.45pt;mso-position-horizontal:right;mso-position-horizontal-relative:margin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lineRule="exact" w:line="280"/>
                        <w:ind w:left="0" w:right="0" w:firstLine="210"/>
                        <w:rPr>
                          <w:rFonts w:ascii="ＭＳ ゴシック" w:hAnsi="ＭＳ ゴシック" w:eastAsia="ＭＳ ゴシック"/>
                          <w:color w:val="auto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auto"/>
                        </w:rPr>
                        <w:t>令和５年</w:t>
                      </w:r>
                      <w:r>
                        <w:rPr>
                          <w:rFonts w:eastAsia="ＭＳ ゴシック" w:ascii="ＭＳ ゴシック" w:hAnsi="ＭＳ ゴシック"/>
                          <w:color w:val="auto"/>
                        </w:rPr>
                        <w:t>10</w:t>
                      </w:r>
                      <w:r>
                        <w:rPr>
                          <w:rFonts w:ascii="ＭＳ ゴシック" w:hAnsi="ＭＳ ゴシック" w:eastAsia="ＭＳ ゴシック"/>
                          <w:color w:val="auto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FrameContents"/>
                        <w:spacing w:lineRule="exact" w:line="280"/>
                        <w:rPr>
                          <w:rFonts w:ascii="ＭＳ ゴシック" w:hAnsi="ＭＳ ゴシック" w:eastAsia="ＭＳ ゴシック"/>
                          <w:color w:val="auto"/>
                        </w:rPr>
                      </w:pPr>
                      <w:r>
                        <w:rPr>
                          <w:rFonts w:eastAsia="ＭＳ ゴシック" w:ascii="ＭＳ ゴシック" w:hAnsi="ＭＳ ゴシック"/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spacing w:lineRule="exact" w:line="280"/>
                        <w:ind w:left="0" w:right="0" w:firstLine="280"/>
                        <w:rPr/>
                      </w:pPr>
                      <w:r>
                        <w:rPr>
                          <w:rFonts w:eastAsia="ＭＳ ゴシック" w:ascii="ＭＳ ゴシック" w:hAnsi="ＭＳ ゴシック"/>
                          <w:color w:val="auto"/>
                          <w:sz w:val="28"/>
                          <w:szCs w:val="32"/>
                        </w:rPr>
                        <w:t xml:space="preserve">□ </w:t>
                      </w:r>
                      <w:r>
                        <w:rPr>
                          <w:rFonts w:ascii="ＭＳ ゴシック" w:hAnsi="ＭＳ ゴシック" w:eastAsia="ＭＳ ゴシック"/>
                          <w:color w:val="auto"/>
                        </w:rPr>
                        <w:t>当該申請は既存融資の借換を目的とした申請です。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ascii="ＭＳ ゴシック" w:hAnsi="ＭＳ ゴシック" w:eastAsia="ＭＳ ゴシック"/>
          <w:color w:val="000000"/>
        </w:rPr>
        <w:t>様式第４－④</w:t>
      </w:r>
    </w:p>
    <w:tbl>
      <w:tblPr>
        <w:tblW w:w="9441" w:type="dxa"/>
        <w:jc w:val="left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2" w:type="dxa"/>
        </w:tblCellMar>
      </w:tblPr>
      <w:tblGrid>
        <w:gridCol w:w="9441"/>
      </w:tblGrid>
      <w:tr>
        <w:trPr/>
        <w:tc>
          <w:tcPr>
            <w:tcW w:w="9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overflowPunct w:val="true"/>
              <w:spacing w:lineRule="atLeast" w:line="274"/>
              <w:jc w:val="center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中小企業信用保険法第２条第５項第４号の規定による認定申請書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            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　　　　　令和　　年　　月　　日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hAnsi="ＭＳ ゴシック" w:eastAsia="ＭＳ ゴシック"/>
                <w:color w:val="000000"/>
              </w:rPr>
              <w:t>西原村長　殿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auto" w:line="276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　　 　　    申請者</w:t>
            </w:r>
          </w:p>
          <w:p>
            <w:pPr>
              <w:pStyle w:val="Normal"/>
              <w:suppressAutoHyphens w:val="true"/>
              <w:overflowPunct w:val="true"/>
              <w:spacing w:lineRule="auto" w:line="276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　　     　　  住　所　　　　　　　　　　　　 　　</w:t>
            </w:r>
          </w:p>
          <w:p>
            <w:pPr>
              <w:pStyle w:val="Normal"/>
              <w:suppressAutoHyphens w:val="true"/>
              <w:overflowPunct w:val="true"/>
              <w:spacing w:lineRule="auto" w:line="276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　　         　　　氏　名　　　　　　　　　　　　 　　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center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記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ascii="ＭＳ ゴシック" w:hAnsi="ＭＳ ゴシック" w:eastAsia="ＭＳ ゴシック"/>
                <w:color w:val="000000"/>
              </w:rPr>
              <w:t>１　事業開始年月日                              　　　　　　　　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 xml:space="preserve">      年　　月　　日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２  （１）売上高等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</w:t>
            </w:r>
            <w:r>
              <w:rPr>
                <w:rFonts w:ascii="ＭＳ ゴシック" w:hAnsi="ＭＳ ゴシック" w:eastAsia="ＭＳ ゴシック"/>
                <w:color w:val="000000"/>
              </w:rPr>
              <w:t>　 （イ）最近１か月間の売上高等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            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　　　　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減少率　　　　％（実績）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</w:t>
            </w:r>
            <w:r>
              <w:rPr>
                <w:rFonts w:eastAsia="ＭＳ ゴシック" w:ascii="ＭＳ ゴシック" w:hAnsi="ＭＳ ゴシック"/>
                <w:color w:val="000000"/>
                <w:u w:val="single" w:color="000000"/>
              </w:rPr>
              <w:t xml:space="preserve"> 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Ｂ－Ａ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 xml:space="preserve">Ｂ   </w:t>
            </w:r>
            <w:r>
              <w:rPr>
                <w:rFonts w:eastAsia="ＭＳ ゴシック" w:ascii="ＭＳ ゴシック" w:hAnsi="ＭＳ ゴシック"/>
                <w:color w:val="000000"/>
              </w:rPr>
              <w:t>×100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  Ａ：災害等の発生における最近１か月間の売上高等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　　　　　　　　　　　　　　　　　　　　　　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　        Ｂ：令和元年１２月の売上高等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　　　　　　　　　　　　　　　　　　　　　　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</w:t>
            </w:r>
            <w:r>
              <w:rPr>
                <w:rFonts w:ascii="ＭＳ ゴシック" w:hAnsi="ＭＳ ゴシック" w:eastAsia="ＭＳ ゴシック"/>
                <w:color w:val="000000"/>
              </w:rPr>
              <w:t>（ロ）最近３か月間の売上高等の実績見込み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      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　　　　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減少率        ％（実績見込み）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</w:t>
            </w:r>
            <w:r>
              <w:rPr>
                <w:rFonts w:ascii="ＭＳ ゴシック" w:hAnsi="ＭＳ ゴシック" w:eastAsia="ＭＳ ゴシック"/>
                <w:color w:val="000000"/>
                <w:u w:val="single"/>
              </w:rPr>
              <w:t>　（Ｂ</w:t>
            </w:r>
            <w:r>
              <w:rPr>
                <w:rFonts w:eastAsia="ＭＳ ゴシック" w:ascii="ＭＳ ゴシック" w:hAnsi="ＭＳ ゴシック"/>
                <w:color w:val="000000"/>
                <w:u w:val="single"/>
              </w:rPr>
              <w:t>×</w:t>
            </w:r>
            <w:r>
              <w:rPr>
                <w:rFonts w:ascii="ＭＳ ゴシック" w:hAnsi="ＭＳ ゴシック" w:eastAsia="ＭＳ ゴシック"/>
                <w:color w:val="000000"/>
                <w:u w:val="single"/>
              </w:rPr>
              <w:t>３）－（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Ａ＋Ｃ）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 　　　　 Ｂ</w:t>
            </w:r>
            <w:r>
              <w:rPr>
                <w:rFonts w:eastAsia="ＭＳ ゴシック" w:ascii="ＭＳ ゴシック" w:hAnsi="ＭＳ ゴシック"/>
                <w:color w:val="000000"/>
              </w:rPr>
              <w:t>×</w:t>
            </w:r>
            <w:r>
              <w:rPr>
                <w:rFonts w:ascii="ＭＳ ゴシック" w:hAnsi="ＭＳ ゴシック" w:eastAsia="ＭＳ ゴシック"/>
                <w:color w:val="000000"/>
              </w:rPr>
              <w:t xml:space="preserve">３　　　　 </w:t>
            </w:r>
            <w:r>
              <w:rPr>
                <w:rFonts w:eastAsia="ＭＳ ゴシック" w:ascii="ＭＳ ゴシック" w:hAnsi="ＭＳ ゴシック"/>
                <w:color w:val="000000"/>
              </w:rPr>
              <w:t>×100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Ｃ：Ａの期間後２か月間の見込み売上高等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　　　　　　　　　　　　　　　　　　　　　　　　　　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 xml:space="preserve">　        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</w:tc>
      </w:tr>
    </w:tbl>
    <w:p>
      <w:pPr>
        <w:pStyle w:val="Normal"/>
        <w:suppressAutoHyphens w:val="true"/>
        <w:spacing w:lineRule="exact" w:line="246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ascii="ＭＳ ゴシック" w:hAnsi="ＭＳ ゴシック" w:eastAsia="ＭＳ ゴシック"/>
          <w:color w:val="000000"/>
        </w:rPr>
        <w:t>（留意事項）</w:t>
      </w:r>
    </w:p>
    <w:p>
      <w:pPr>
        <w:pStyle w:val="ListParagraph"/>
        <w:numPr>
          <w:ilvl w:val="0"/>
          <w:numId w:val="1"/>
        </w:numPr>
        <w:suppressAutoHyphens w:val="true"/>
        <w:spacing w:lineRule="exact" w:line="246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ascii="ＭＳ ゴシック" w:hAnsi="ＭＳ ゴシック" w:eastAsia="ＭＳ ゴシック"/>
          <w:color w:val="000000"/>
        </w:rPr>
        <w:t>本様式は、業歴３ヶ月以上１年１ヶ月未満の場合あるいは前年以降、事業拡大等により前年</w:t>
      </w:r>
    </w:p>
    <w:p>
      <w:pPr>
        <w:pStyle w:val="Normal"/>
        <w:suppressAutoHyphens w:val="true"/>
        <w:spacing w:lineRule="exact" w:line="246"/>
        <w:ind w:left="210" w:right="0" w:firstLine="21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ascii="ＭＳ ゴシック" w:hAnsi="ＭＳ ゴシック" w:eastAsia="ＭＳ ゴシック"/>
          <w:color w:val="000000"/>
        </w:rPr>
        <w:t>比較が適当でない特段の事情がある場合に使用します。</w:t>
      </w:r>
    </w:p>
    <w:p>
      <w:pPr>
        <w:pStyle w:val="Normal"/>
        <w:suppressAutoHyphens w:val="true"/>
        <w:spacing w:lineRule="exact" w:line="246"/>
        <w:ind w:left="0" w:right="0" w:firstLine="21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  <w:t>②</w:t>
      </w:r>
      <w:r>
        <w:rPr>
          <w:rFonts w:ascii="ＭＳ ゴシック" w:hAnsi="ＭＳ ゴシック" w:eastAsia="ＭＳ ゴシック"/>
          <w:color w:val="000000"/>
        </w:rPr>
        <w:t>　本認定とは別に、金融機関及び信用保証協会による金融上の審査があります。</w:t>
      </w:r>
    </w:p>
    <w:p>
      <w:pPr>
        <w:pStyle w:val="Normal"/>
        <w:suppressAutoHyphens w:val="true"/>
        <w:spacing w:lineRule="exact" w:line="240"/>
        <w:ind w:left="420" w:right="0" w:hanging="42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ascii="ＭＳ ゴシック" w:hAnsi="ＭＳ ゴシック" w:eastAsia="ＭＳ ゴシック"/>
          <w:color w:val="000000"/>
        </w:rPr>
        <w:t>　③　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W w:w="949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rPr/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ind w:left="180" w:right="0" w:hanging="0"/>
              <w:rPr>
                <w:rFonts w:ascii="ＭＳ ゴシック" w:hAnsi="ＭＳ ゴシック" w:eastAsia="ＭＳ ゴシック"/>
              </w:rPr>
            </w:pPr>
            <w:bookmarkStart w:id="0" w:name="_GoBack"/>
            <w:bookmarkStart w:id="1" w:name="_GoBack"/>
            <w:bookmarkEnd w:id="1"/>
            <w:r>
              <w:rPr>
                <w:rFonts w:eastAsia="ＭＳ ゴシック" w:ascii="ＭＳ ゴシック" w:hAnsi="ＭＳ ゴシック"/>
              </w:rPr>
            </w:r>
          </w:p>
          <w:p>
            <w:pPr>
              <w:pStyle w:val="Normal"/>
              <w:ind w:left="18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西発第　　　　　　　号</w:t>
            </w:r>
          </w:p>
          <w:p>
            <w:pPr>
              <w:pStyle w:val="Normal"/>
              <w:ind w:left="180" w:right="0" w:hanging="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令和　　　年　　　月　　　日申請のとおり、相違ないことを認定します。</w:t>
            </w:r>
          </w:p>
          <w:p>
            <w:pPr>
              <w:pStyle w:val="Normal"/>
              <w:ind w:left="180" w:right="0" w:firstLine="210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本認定書の有効期間：令和　　年　　月　　日から令和　　年　　月　　日まで</w:t>
            </w:r>
          </w:p>
          <w:p>
            <w:pPr>
              <w:pStyle w:val="Normal"/>
              <w:suppressAutoHyphens w:val="true"/>
              <w:spacing w:lineRule="exact" w:line="240"/>
              <w:ind w:left="0" w:right="0" w:firstLine="5670"/>
              <w:textAlignment w:val="baseline"/>
              <w:rPr>
                <w:rFonts w:ascii="ＭＳ ゴシック" w:hAnsi="ＭＳ ゴシック" w:eastAsia="ＭＳ ゴシック"/>
              </w:rPr>
            </w:pPr>
            <w:r>
              <w:rPr>
                <w:rFonts w:ascii="ＭＳ ゴシック" w:hAnsi="ＭＳ ゴシック" w:eastAsia="ＭＳ ゴシック"/>
              </w:rPr>
              <w:t>　　 西原村長　　吉井　誠　　　　</w:t>
            </w:r>
          </w:p>
          <w:p>
            <w:pPr>
              <w:pStyle w:val="Normal"/>
              <w:suppressAutoHyphens w:val="true"/>
              <w:spacing w:lineRule="exact" w:line="240"/>
              <w:ind w:left="0" w:right="0" w:firstLine="5670"/>
              <w:textAlignment w:val="baseline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</w:tbl>
    <w:p>
      <w:pPr>
        <w:pStyle w:val="Normal"/>
        <w:suppressAutoHyphens w:val="true"/>
        <w:spacing w:lineRule="exact" w:line="260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ゴシック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0" w:right="1080" w:hanging="0"/>
      <w:rPr>
        <w:color w:val="FF0000"/>
        <w:sz w:val="24"/>
      </w:rPr>
    </w:pPr>
    <w:r>
      <w:rPr>
        <w:color w:val="FF0000"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cs="Times New Roman" w:ascii="游明朝" w:hAnsi="游明朝" w:eastAsia="游明朝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7">
    <w:name w:val="記 (文字)"/>
    <w:basedOn w:val="DefaultParagraphFont"/>
    <w:qFormat/>
    <w:rPr>
      <w:rFonts w:ascii="ＭＳ ゴシック" w:hAnsi="ＭＳ ゴシック" w:eastAsia="ＭＳ ゴシック" w:cs="Times New Roman"/>
      <w:color w:val="000000"/>
      <w:szCs w:val="20"/>
    </w:rPr>
  </w:style>
  <w:style w:type="character" w:styleId="Style18">
    <w:name w:val="結語 (文字)"/>
    <w:basedOn w:val="DefaultParagraphFont"/>
    <w:qFormat/>
    <w:rPr>
      <w:rFonts w:ascii="ＭＳ ゴシック" w:hAnsi="ＭＳ ゴシック" w:eastAsia="ＭＳ ゴシック" w:cs="Times New Roman"/>
      <w:color w:val="000000"/>
      <w:szCs w:val="20"/>
    </w:rPr>
  </w:style>
  <w:style w:type="character" w:styleId="ListLabel1">
    <w:name w:val="ListLabel 1"/>
    <w:qFormat/>
    <w:rPr>
      <w:rFonts w:eastAsia="ＭＳ ゴシック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>
      <w:rFonts w:cs="DejaVu Sans"/>
      <w:szCs w:val="22"/>
    </w:rPr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>
      <w:rFonts w:cs="DejaVu Sans"/>
      <w:szCs w:val="22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NoteHeading">
    <w:name w:val="Note Heading"/>
    <w:basedOn w:val="Normal"/>
    <w:qFormat/>
    <w:pPr>
      <w:jc w:val="center"/>
    </w:pPr>
    <w:rPr>
      <w:rFonts w:ascii="ＭＳ ゴシック" w:hAnsi="ＭＳ ゴシック" w:eastAsia="ＭＳ ゴシック"/>
      <w:color w:val="000000"/>
    </w:rPr>
  </w:style>
  <w:style w:type="paragraph" w:styleId="Closing">
    <w:name w:val="Closing"/>
    <w:basedOn w:val="Normal"/>
    <w:qFormat/>
    <w:pPr>
      <w:jc w:val="right"/>
    </w:pPr>
    <w:rPr>
      <w:rFonts w:ascii="ＭＳ ゴシック" w:hAnsi="ＭＳ ゴシック" w:eastAsia="ＭＳ ゴシック"/>
      <w:color w:val="000000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numbering" Target="numbering.xml"/>
<Relationship Id="rId4" Type="http://schemas.openxmlformats.org/officeDocument/2006/relationships/fontTable" Target="fontTable.xml"/>
<Relationship Id="rId5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Plott Corporation</Application>
  <Pages>1</Pages>
  <Words>671</Words>
  <Characters>678</Characters>
  <CharactersWithSpaces>1349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2023-09-29T05:53:00Z</dcterms:created>
  <dc:creator>0153 ida</dc:creator>
  <dc:description/>
  <dc:language>en-US</dc:language>
  <cp:lastModifiedBy>0153 ida</cp:lastModifiedBy>
  <cp:lastPrinted>2023-10-03T03:10:00Z</cp:lastPrinted>
  <dcterms:modified xsi:type="dcterms:W3CDTF">2023-10-03T04:54:00Z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