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0"/>
        <w:ind w:left="492" w:right="0" w:hanging="492"/>
        <w:jc w:val="left"/>
        <w:textAlignment w:val="baseline"/>
        <w:rPr>
          <w:rFonts w:ascii="ＭＳ ゴシック" w:hAnsi="ＭＳ ゴシック" w:eastAsia="ＭＳ ゴシック"/>
          <w:color w:val="000000"/>
          <w:sz w:val="20"/>
        </w:rPr>
      </w:pPr>
      <w:r>
        <w:rPr>
          <w:rFonts w:eastAsia="ＭＳ ゴシック" w:ascii="ＭＳ ゴシック" w:hAnsi="ＭＳ ゴシック"/>
          <w:color w:val="000000"/>
          <w:sz w:val="20"/>
        </w:rPr>
      </w:r>
      <w:r>
        <mc:AlternateContent>
          <mc:Choice Requires="wps">
            <w:drawing>
              <wp:anchor behindDoc="0" distT="0" distB="0" distL="90170" distR="90170" simplePos="0" locked="0" layoutInCell="1" allowOverlap="1" relativeHeight="2">
                <wp:simplePos x="0" y="0"/>
                <wp:positionH relativeFrom="margin">
                  <wp:align>right</wp:align>
                </wp:positionH>
                <wp:positionV relativeFrom="paragraph">
                  <wp:posOffset>5080</wp:posOffset>
                </wp:positionV>
                <wp:extent cx="2122805" cy="483870"/>
                <wp:effectExtent l="0" t="0" r="0" b="0"/>
                <wp:wrapSquare wrapText="bothSides"/>
                <wp:docPr id="1" name="Frame1"/>
                <a:graphic xmlns:a="http://schemas.openxmlformats.org/drawingml/2006/main">
                  <a:graphicData uri="http://schemas.microsoft.com/office/word/2010/wordprocessingShape">
                    <wps:wsp>
                      <wps:cNvSpPr txBox="1"/>
                      <wps:spPr>
                        <a:xfrm>
                          <a:off x="0" y="0"/>
                          <a:ext cx="2122805" cy="483870"/>
                        </a:xfrm>
                        <a:prstGeom prst="rect"/>
                      </wps:spPr>
                      <wps:txbx>
                        <w:txbxContent>
                          <w:tbl>
                            <w:tblPr>
                              <w:tblW w:w="334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txbxContent>
                      </wps:txbx>
                      <wps:bodyPr anchor="t" lIns="0" tIns="0" rIns="0" bIns="0">
                        <a:noAutofit/>
                      </wps:bodyPr>
                    </wps:wsp>
                  </a:graphicData>
                </a:graphic>
              </wp:anchor>
            </w:drawing>
          </mc:Choice>
          <mc:Fallback>
            <w:pict>
              <v:rect style="position:absolute;rotation:0;width:167.15pt;height:38.1pt;mso-wrap-distance-left:7.1pt;mso-wrap-distance-right:7.1pt;mso-wrap-distance-top:0pt;mso-wrap-distance-bottom:0pt;margin-top:0.4pt;mso-position-vertical-relative:text;margin-left:307.65pt;mso-position-horizontal:right;mso-position-horizontal-relative:margin">
                <v:textbox inset="0in,0in,0in,0in">
                  <w:txbxContent>
                    <w:tbl>
                      <w:tblPr>
                        <w:tblW w:w="3343"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tblGrid>
                      <w:tr>
                        <w:trPr>
                          <w:trHeight w:val="334"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eastAsia="ＭＳ ゴシック"/>
                              </w:rPr>
                            </w:pPr>
                            <w:r>
                              <w:rPr>
                                <w:rFonts w:ascii="ＭＳ ゴシック" w:hAnsi="ＭＳ ゴシック" w:eastAsia="ＭＳ ゴシック"/>
                              </w:rPr>
                              <w:t>認定権者記載欄</w:t>
                            </w:r>
                          </w:p>
                        </w:tc>
                      </w:tr>
                      <w:tr>
                        <w:trPr>
                          <w:trHeight w:val="273" w:hRule="atLeast"/>
                        </w:trPr>
                        <w:tc>
                          <w:tcPr>
                            <w:tcW w:w="3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txbxContent>
                </v:textbox>
                <w10:wrap type="square"/>
              </v:rect>
            </w:pict>
          </mc:Fallback>
        </mc:AlternateContent>
      </w:r>
    </w:p>
    <w:p>
      <w:pPr>
        <w:pStyle w:val="Normal"/>
        <w:suppressAutoHyphens w:val="true"/>
        <w:spacing w:lineRule="exact" w:line="30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30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様式第５－（イ）－⑪</w:t>
      </w:r>
    </w:p>
    <w:tbl>
      <w:tblPr>
        <w:tblW w:w="958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82"/>
      </w:tblGrid>
      <w:tr>
        <w:trPr>
          <w:trHeight w:val="9120" w:hRule="atLeast"/>
        </w:trPr>
        <w:tc>
          <w:tcPr>
            <w:tcW w:w="9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中小企業信用保険法第２条第５項第５号の規定による認定申請書（イ－⑪）</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西原村長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住　所</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名　称</w:t>
            </w:r>
          </w:p>
          <w:p>
            <w:pPr>
              <w:pStyle w:val="Normal"/>
              <w:suppressAutoHyphens w:val="true"/>
              <w:overflowPunct w:val="true"/>
              <w:spacing w:lineRule="atLeast" w:line="274"/>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代表者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ind w:left="210" w:right="561" w:firstLine="210"/>
              <w:jc w:val="left"/>
              <w:textAlignment w:val="baseline"/>
              <w:rPr/>
            </w:pPr>
            <w:r>
              <w:rPr>
                <w:rFonts w:ascii="ＭＳ ゴシック" w:hAnsi="ＭＳ ゴシック" w:eastAsia="ＭＳ ゴシック"/>
                <w:color w:val="000000"/>
              </w:rPr>
              <w:t>私は、</w:t>
            </w:r>
            <w:r>
              <w:rPr>
                <w:rFonts w:ascii="ＭＳ ゴシック" w:hAnsi="ＭＳ ゴシック" w:eastAsia="ＭＳ ゴシック"/>
                <w:color w:val="000000"/>
                <w:u w:val="single"/>
              </w:rPr>
              <w:t>　　　　　　業（注２）</w:t>
            </w:r>
            <w:r>
              <w:rPr>
                <w:rFonts w:ascii="ＭＳ ゴシック" w:hAnsi="ＭＳ ゴシック" w:eastAsia="ＭＳ ゴシック"/>
                <w:color w:val="000000"/>
              </w:rPr>
              <w:t>を営んでいるが、令和２年新型コロナウイルス感染症の発生の影響に起因して、下記のとおり、</w:t>
            </w:r>
            <w:r>
              <w:rPr>
                <w:rFonts w:ascii="ＭＳ ゴシック" w:hAnsi="ＭＳ ゴシック" w:eastAsia="ＭＳ ゴシック"/>
                <w:color w:val="000000"/>
                <w:u w:val="single" w:color="000000"/>
              </w:rPr>
              <w:t>　　　　　　（注３）</w:t>
            </w:r>
            <w:r>
              <w:rPr>
                <w:rFonts w:ascii="ＭＳ ゴシック" w:hAnsi="ＭＳ ゴシック" w:eastAsia="ＭＳ ゴシック"/>
                <w:color w:val="000000"/>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center"/>
              <w:textAlignment w:val="baseline"/>
              <w:rPr>
                <w:rFonts w:ascii="ＭＳ ゴシック" w:hAnsi="ＭＳ ゴシック" w:eastAsia="ＭＳ ゴシック"/>
                <w:color w:val="000000"/>
              </w:rPr>
            </w:pPr>
            <w:r>
              <w:rPr>
                <w:rFonts w:ascii="ＭＳ ゴシック" w:hAnsi="ＭＳ ゴシック" w:eastAsia="ＭＳ ゴシック"/>
                <w:color w:val="000000"/>
              </w:rPr>
              <w:t>記</w:t>
            </w:r>
          </w:p>
          <w:p>
            <w:pPr>
              <w:pStyle w:val="Normal"/>
              <w:suppressAutoHyphens w:val="true"/>
              <w:overflowPunct w:val="true"/>
              <w:spacing w:lineRule="exact" w:line="240"/>
              <w:ind w:left="0" w:right="0" w:firstLine="21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（イ）最近１か月間の売上高等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u w:val="single"/>
              </w:rPr>
              <w:t>指定業種の</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eastAsia="ＭＳ ゴシック" w:ascii="ＭＳ ゴシック" w:hAnsi="ＭＳ ゴシック"/>
                <w:color w:val="000000"/>
                <w:u w:val="single" w:color="000000"/>
              </w:rPr>
              <w:t xml:space="preserve"> </w:t>
            </w:r>
            <w:r>
              <w:rPr>
                <w:rFonts w:ascii="ＭＳ ゴシック" w:hAnsi="ＭＳ ゴシック" w:eastAsia="ＭＳ ゴシック"/>
                <w:color w:val="000000"/>
                <w:u w:val="single" w:color="000000"/>
              </w:rPr>
              <w:t>Ｂ－Ａ</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xml:space="preserve">Ｂ   </w:t>
            </w:r>
            <w:r>
              <w:rPr>
                <w:rFonts w:eastAsia="ＭＳ ゴシック" w:ascii="ＭＳ ゴシック" w:hAnsi="ＭＳ ゴシック"/>
                <w:color w:val="000000"/>
              </w:rPr>
              <w:t>×100</w:t>
            </w:r>
            <w:r>
              <w:rPr>
                <w:rFonts w:ascii="ＭＳ ゴシック" w:hAnsi="ＭＳ ゴシック" w:eastAsia="ＭＳ ゴシック"/>
                <w:color w:val="000000"/>
              </w:rPr>
              <w:t>　　　　　　　　　</w:t>
            </w:r>
            <w:r>
              <w:rPr>
                <w:rFonts w:ascii="ＭＳ ゴシック" w:hAnsi="ＭＳ ゴシック" w:eastAsia="ＭＳ ゴシック"/>
                <w:color w:val="000000"/>
                <w:u w:val="single"/>
              </w:rPr>
              <w:t>全体の</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Ａ：申込み時点における最近１か月間の売上高等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指定業種の売上高等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spacing w:val="16"/>
              </w:rPr>
              <w:t>　　　　　　　　　　　　　　　　　　　</w:t>
            </w:r>
            <w:r>
              <w:rPr>
                <w:rFonts w:ascii="ＭＳ ゴシック" w:hAnsi="ＭＳ ゴシック" w:eastAsia="ＭＳ ゴシック"/>
                <w:color w:val="000000"/>
                <w:spacing w:val="16"/>
                <w:u w:val="single"/>
              </w:rPr>
              <w:t>全体の売上高等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Ｂ：令和元年１２月の売上高等</w:t>
            </w:r>
          </w:p>
          <w:p>
            <w:pPr>
              <w:pStyle w:val="Normal"/>
              <w:suppressAutoHyphens w:val="true"/>
              <w:overflowPunct w:val="true"/>
              <w:spacing w:lineRule="exact" w:line="240"/>
              <w:ind w:left="0" w:right="0" w:firstLine="4620"/>
              <w:jc w:val="left"/>
              <w:textAlignment w:val="baseline"/>
              <w:rPr/>
            </w:pPr>
            <w:r>
              <w:rPr>
                <w:rFonts w:ascii="ＭＳ ゴシック" w:hAnsi="ＭＳ ゴシック" w:eastAsia="ＭＳ ゴシック"/>
                <w:color w:val="000000"/>
                <w:u w:val="single"/>
              </w:rPr>
              <w:t>指定業種の売上高等</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spacing w:val="16"/>
              </w:rPr>
              <w:t>　　　　　　　　　　　　　　　　　　　</w:t>
            </w:r>
            <w:r>
              <w:rPr>
                <w:rFonts w:ascii="ＭＳ ゴシック" w:hAnsi="ＭＳ ゴシック" w:eastAsia="ＭＳ ゴシック"/>
                <w:color w:val="000000"/>
                <w:spacing w:val="16"/>
                <w:u w:val="single"/>
              </w:rPr>
              <w:t>全体の売上高等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u w:val="single" w:color="000000"/>
              </w:rPr>
            </w:pPr>
            <w:r>
              <w:rPr>
                <w:rFonts w:eastAsia="ＭＳ ゴシック" w:ascii="ＭＳ ゴシック" w:hAnsi="ＭＳ ゴシック"/>
                <w:color w:val="000000"/>
                <w:u w:val="single" w:color="000000"/>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u w:val="single" w:color="000000"/>
              </w:rPr>
            </w:pPr>
            <w:r>
              <w:rPr>
                <w:rFonts w:eastAsia="ＭＳ ゴシック" w:ascii="ＭＳ ゴシック" w:hAnsi="ＭＳ ゴシック"/>
                <w:color w:val="000000"/>
                <w:u w:val="single" w:color="000000"/>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（ロ）最近３か月間の売上高等の実績見込み</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指定業種の</w:t>
            </w:r>
            <w:r>
              <w:rPr>
                <w:rFonts w:ascii="ＭＳ ゴシック" w:hAnsi="ＭＳ ゴシック" w:eastAsia="ＭＳ ゴシック"/>
                <w:color w:val="000000"/>
                <w:u w:val="single" w:color="000000"/>
              </w:rPr>
              <w:t>減少率          ％（実績見込み）</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全体</w:t>
            </w:r>
            <w:r>
              <w:rPr>
                <w:rFonts w:ascii="ＭＳ ゴシック" w:hAnsi="ＭＳ ゴシック" w:eastAsia="ＭＳ ゴシック"/>
                <w:color w:val="000000"/>
                <w:u w:val="single"/>
              </w:rPr>
              <w:t>の</w:t>
            </w:r>
            <w:r>
              <w:rPr>
                <w:rFonts w:ascii="ＭＳ ゴシック" w:hAnsi="ＭＳ ゴシック" w:eastAsia="ＭＳ ゴシック"/>
                <w:color w:val="000000"/>
                <w:u w:val="single" w:color="000000"/>
              </w:rPr>
              <w:t>減少率  　　　      ％（実績見込み）</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　（Ｂ</w:t>
            </w:r>
            <w:r>
              <w:rPr>
                <w:rFonts w:eastAsia="ＭＳ ゴシック" w:ascii="ＭＳ ゴシック" w:hAnsi="ＭＳ ゴシック"/>
                <w:color w:val="000000"/>
                <w:u w:val="single"/>
              </w:rPr>
              <w:t>×</w:t>
            </w:r>
            <w:r>
              <w:rPr>
                <w:rFonts w:ascii="ＭＳ ゴシック" w:hAnsi="ＭＳ ゴシック" w:eastAsia="ＭＳ ゴシック"/>
                <w:color w:val="000000"/>
                <w:u w:val="single"/>
              </w:rPr>
              <w:t>３）－（Ａ＋Ｃ）</w:t>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Ｂ</w:t>
            </w:r>
            <w:r>
              <w:rPr>
                <w:rFonts w:eastAsia="ＭＳ ゴシック" w:ascii="ＭＳ ゴシック" w:hAnsi="ＭＳ ゴシック"/>
                <w:color w:val="000000"/>
              </w:rPr>
              <w:t>×</w:t>
            </w:r>
            <w:r>
              <w:rPr>
                <w:rFonts w:ascii="ＭＳ ゴシック" w:hAnsi="ＭＳ ゴシック" w:eastAsia="ＭＳ ゴシック"/>
                <w:color w:val="000000"/>
              </w:rPr>
              <w:t xml:space="preserve">３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Ｃ：Ａの期間後２か月間の見込み売上高等</w:t>
            </w:r>
          </w:p>
          <w:p>
            <w:pPr>
              <w:pStyle w:val="Normal"/>
              <w:suppressAutoHyphens w:val="true"/>
              <w:overflowPunct w:val="true"/>
              <w:spacing w:lineRule="exact" w:line="240"/>
              <w:jc w:val="left"/>
              <w:textAlignment w:val="baseline"/>
              <w:rPr/>
            </w:pPr>
            <w:r>
              <w:rPr>
                <w:rFonts w:eastAsia="ＭＳ ゴシック" w:ascii="ＭＳ ゴシック" w:hAnsi="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 xml:space="preserve">指定業種の売上高等  </w:t>
            </w:r>
            <w:r>
              <w:rPr>
                <w:rFonts w:ascii="ＭＳ ゴシック" w:hAnsi="ＭＳ ゴシック" w:eastAsia="ＭＳ ゴシック"/>
                <w:color w:val="000000"/>
                <w:u w:val="single" w:color="000000"/>
              </w:rPr>
              <w:t xml:space="preserve">                  円</w:t>
            </w:r>
          </w:p>
          <w:p>
            <w:pPr>
              <w:pStyle w:val="Normal"/>
              <w:suppressAutoHyphens w:val="true"/>
              <w:overflowPunct w:val="true"/>
              <w:spacing w:lineRule="exact" w:line="240"/>
              <w:jc w:val="left"/>
              <w:textAlignment w:val="baseline"/>
              <w:rPr/>
            </w:pPr>
            <w:r>
              <w:rPr>
                <w:rFonts w:ascii="ＭＳ ゴシック" w:hAnsi="ＭＳ ゴシック" w:eastAsia="ＭＳ ゴシック"/>
                <w:color w:val="000000"/>
              </w:rPr>
              <w:t>　        　　　　　　　　　　　　　　　</w:t>
            </w:r>
            <w:r>
              <w:rPr>
                <w:rFonts w:ascii="ＭＳ ゴシック" w:hAnsi="ＭＳ ゴシック" w:eastAsia="ＭＳ ゴシック"/>
                <w:color w:val="000000"/>
                <w:u w:val="single"/>
              </w:rPr>
              <w:t>全体の売上高等  　　　</w:t>
            </w:r>
            <w:r>
              <w:rPr>
                <w:rFonts w:ascii="ＭＳ ゴシック" w:hAnsi="ＭＳ ゴシック" w:eastAsia="ＭＳ ゴシック"/>
                <w:color w:val="000000"/>
                <w:u w:val="single" w:color="000000"/>
              </w:rPr>
              <w:t xml:space="preserve">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tc>
      </w:tr>
    </w:tbl>
    <w:p>
      <w:pPr>
        <w:pStyle w:val="Normal"/>
        <w:suppressAutoHyphens w:val="true"/>
        <w:spacing w:lineRule="exact" w:line="22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Normal"/>
        <w:suppressAutoHyphens w:val="true"/>
        <w:spacing w:lineRule="exact" w:line="22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本様式は、一つの指定業種に属する業種を営んでいる場合にも使用する。その場合には、指定業種の売上高等は申請者全体の売上高等を記載する。</w:t>
      </w:r>
    </w:p>
    <w:p>
      <w:pPr>
        <w:pStyle w:val="Normal"/>
        <w:suppressAutoHyphens w:val="true"/>
        <w:spacing w:lineRule="exact" w:line="220"/>
        <w:ind w:left="862" w:right="0" w:hanging="862"/>
        <w:jc w:val="left"/>
        <w:textAlignment w:val="baseline"/>
        <w:rPr/>
      </w:pPr>
      <w:r>
        <w:rPr>
          <w:rFonts w:ascii="ＭＳ ゴシック" w:hAnsi="ＭＳ ゴシック" w:eastAsia="ＭＳ ゴシック"/>
          <w:color w:val="000000"/>
        </w:rPr>
        <w:t>（注２）主たる事業が属する業種</w:t>
      </w:r>
      <w:r>
        <w:rPr>
          <w:rFonts w:ascii="ＭＳ ゴシック" w:hAnsi="ＭＳ ゴシック" w:eastAsia="ＭＳ ゴシック"/>
          <w:color w:val="000000"/>
          <w:spacing w:val="16"/>
        </w:rPr>
        <w:t>（日本標準産業分類の細分類番号と細分類業種名）を記載。</w:t>
      </w:r>
    </w:p>
    <w:p>
      <w:pPr>
        <w:pStyle w:val="Normal"/>
        <w:suppressAutoHyphens w:val="true"/>
        <w:spacing w:lineRule="exact" w:line="220"/>
        <w:ind w:left="862" w:right="0" w:hanging="862"/>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（注３）「販売数量の減少」又は「売上高の減少」等を入れる。</w:t>
      </w:r>
    </w:p>
    <w:p>
      <w:pPr>
        <w:pStyle w:val="Normal"/>
        <w:suppressAutoHyphens w:val="true"/>
        <w:spacing w:lineRule="exact" w:line="220"/>
        <w:ind w:left="1230" w:right="0" w:hanging="123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（留意事項）</w:t>
      </w:r>
    </w:p>
    <w:p>
      <w:pPr>
        <w:pStyle w:val="ListParagraph"/>
        <w:numPr>
          <w:ilvl w:val="0"/>
          <w:numId w:val="1"/>
        </w:numPr>
        <w:suppressAutoHyphens w:val="true"/>
        <w:spacing w:lineRule="exact" w:line="2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本認定とは別に、金融機関及び信用保証協会による金融上の審査があります。</w:t>
      </w:r>
    </w:p>
    <w:p>
      <w:pPr>
        <w:pStyle w:val="ListParagraph"/>
        <w:numPr>
          <w:ilvl w:val="0"/>
          <w:numId w:val="1"/>
        </w:numPr>
        <w:suppressAutoHyphens w:val="true"/>
        <w:spacing w:lineRule="exact" w:line="2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市町村長又は特別区長から認定を受けた後、本認定の有効期間内に金融機関又は信用保証協会に対して、経営安定関連保証の申込みを行うことが必要です。</w:t>
      </w:r>
    </w:p>
    <w:tbl>
      <w:tblPr>
        <w:tblW w:w="9582"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582"/>
      </w:tblGrid>
      <w:tr>
        <w:trPr/>
        <w:tc>
          <w:tcPr>
            <w:tcW w:w="9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西発第　　　　号</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日申請のとおり、相違ないことを認定します。</w:t>
            </w:r>
          </w:p>
          <w:p>
            <w:pPr>
              <w:pStyle w:val="Normal"/>
              <w:suppressAutoHyphens w:val="true"/>
              <w:overflowPunct w:val="true"/>
              <w:spacing w:lineRule="atLeast" w:line="274"/>
              <w:textAlignment w:val="baseline"/>
              <w:rPr/>
            </w:pPr>
            <w:r>
              <w:rPr>
                <w:rFonts w:ascii="ＭＳ ゴシック" w:hAnsi="ＭＳ ゴシック" w:eastAsia="ＭＳ ゴシック"/>
                <w:color w:val="000000"/>
              </w:rPr>
              <w:t>　　（注</w:t>
            </w:r>
            <w:bookmarkStart w:id="0" w:name="_GoBack"/>
            <w:bookmarkEnd w:id="0"/>
            <w:r>
              <w:rPr>
                <w:rFonts w:ascii="ＭＳ ゴシック" w:hAnsi="ＭＳ ゴシック" w:eastAsia="ＭＳ ゴシック"/>
                <w:color w:val="000000"/>
              </w:rPr>
              <w:t>）本認定書の有効期限：令和　　年　　月　　日から令和　　年　　月　　日まで</w:t>
            </w:r>
          </w:p>
          <w:p>
            <w:pPr>
              <w:pStyle w:val="Normal"/>
              <w:suppressAutoHyphens w:val="true"/>
              <w:overflowPunct w:val="true"/>
              <w:spacing w:lineRule="atLeast" w:line="274"/>
              <w:ind w:left="0" w:right="0" w:firstLine="5880"/>
              <w:textAlignment w:val="baseline"/>
              <w:rPr>
                <w:rFonts w:ascii="ＭＳ ゴシック" w:hAnsi="ＭＳ ゴシック" w:eastAsia="ＭＳ ゴシック"/>
                <w:color w:val="000000"/>
              </w:rPr>
            </w:pPr>
            <w:r>
              <w:rPr>
                <w:rFonts w:ascii="ＭＳ ゴシック" w:hAnsi="ＭＳ ゴシック" w:eastAsia="ＭＳ ゴシック"/>
                <w:color w:val="000000"/>
              </w:rPr>
              <w:t>認定者　西原村長　吉井　誠　　</w:t>
            </w:r>
          </w:p>
          <w:p>
            <w:pPr>
              <w:pStyle w:val="Normal"/>
              <w:suppressAutoHyphens w:val="true"/>
              <w:overflowPunct w:val="true"/>
              <w:spacing w:lineRule="atLeast" w:line="274"/>
              <w:textAlignment w:val="baseline"/>
              <w:rPr>
                <w:rFonts w:ascii="ＭＳ ゴシック" w:hAnsi="ＭＳ ゴシック" w:eastAsia="ＭＳ ゴシック"/>
                <w:color w:val="000000"/>
              </w:rPr>
            </w:pPr>
            <w:r>
              <w:rPr>
                <w:rFonts w:eastAsia="ＭＳ ゴシック" w:ascii="ＭＳ ゴシック" w:hAnsi="ＭＳ ゴシック"/>
                <w:color w:val="000000"/>
              </w:rPr>
            </w:r>
          </w:p>
        </w:tc>
      </w:tr>
    </w:tbl>
    <w:p>
      <w:pPr>
        <w:pStyle w:val="Normal"/>
        <w:suppressAutoHyphens w:val="true"/>
        <w:spacing w:lineRule="exact" w:line="220"/>
        <w:ind w:left="492" w:right="0" w:hanging="492"/>
        <w:jc w:val="left"/>
        <w:textAlignment w:val="baseline"/>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aiueoFullWidth"/>
      <w:lvlText w:val="(%2)"/>
      <w:lvlJc w:val="left"/>
      <w:pPr>
        <w:ind w:left="1200" w:hanging="420"/>
      </w:pPr>
    </w:lvl>
    <w:lvl w:ilvl="2">
      <w:start w:val="1"/>
      <w:numFmt w:val="decimal"/>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
      <w:lvlText w:val="%9"/>
      <w:lvlJc w:val="left"/>
      <w:pPr>
        <w:ind w:left="4140" w:hanging="42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0"/>
      <w:lang w:val="en-US" w:eastAsia="ja-JP" w:bidi="ar-SA"/>
    </w:rPr>
  </w:style>
  <w:style w:type="paragraph" w:styleId="Heading1">
    <w:name w:val="Heading 1"/>
    <w:basedOn w:val="Normal"/>
    <w:qFormat/>
    <w:pPr>
      <w:keepNext/>
      <w:numPr>
        <w:ilvl w:val="0"/>
        <w:numId w:val="0"/>
      </w:numPr>
      <w:outlineLvl w:val="0"/>
    </w:pPr>
    <w:rPr>
      <w:rFonts w:ascii="Arial" w:hAnsi="Arial" w:eastAsia="ＭＳ ゴシック"/>
      <w:sz w:val="24"/>
    </w:rPr>
  </w:style>
  <w:style w:type="paragraph" w:styleId="Heading2">
    <w:name w:val="Heading 2"/>
    <w:basedOn w:val="Normal"/>
    <w:qFormat/>
    <w:pPr>
      <w:keepNext/>
      <w:numPr>
        <w:ilvl w:val="0"/>
        <w:numId w:val="0"/>
      </w:numPr>
      <w:outlineLvl w:val="1"/>
    </w:pPr>
    <w:rPr>
      <w:rFonts w:ascii="Arial" w:hAnsi="Arial" w:eastAsia="ＭＳ ゴシック"/>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sz w:val="24"/>
    </w:rPr>
  </w:style>
  <w:style w:type="character" w:styleId="2">
    <w:name w:val="見出し 2 (文字)"/>
    <w:basedOn w:val="DefaultParagraphFont"/>
    <w:qFormat/>
    <w:rPr>
      <w:rFonts w:ascii="Arial" w:hAnsi="Arial" w:eastAsia="ＭＳ ゴシック"/>
    </w:rPr>
  </w:style>
  <w:style w:type="character" w:styleId="Style12">
    <w:name w:val="ヘッダー (文字)"/>
    <w:basedOn w:val="DefaultParagraphFont"/>
    <w:qFormat/>
    <w:rPr/>
  </w:style>
  <w:style w:type="character" w:styleId="Style13">
    <w:name w:val="フッター (文字)"/>
    <w:basedOn w:val="DefaultParagraphFont"/>
    <w:qFormat/>
    <w:rPr/>
  </w:style>
  <w:style w:type="character" w:styleId="Style14">
    <w:name w:val="吹き出し (文字)"/>
    <w:basedOn w:val="DefaultParagraphFont"/>
    <w:qFormat/>
    <w:rPr>
      <w:rFonts w:ascii="Arial" w:hAnsi="Arial" w:eastAsia="ＭＳ ゴシック"/>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qFormat/>
    <w:rPr>
      <w:sz w:val="18"/>
    </w:rPr>
  </w:style>
  <w:style w:type="character" w:styleId="Style15">
    <w:name w:val="コメント文字列 (文字)"/>
    <w:basedOn w:val="DefaultParagraphFont"/>
    <w:qFormat/>
    <w:rPr/>
  </w:style>
  <w:style w:type="character" w:styleId="Style16">
    <w:name w:val="コメント内容 (文字)"/>
    <w:basedOn w:val="Style15"/>
    <w:qFormat/>
    <w:rPr>
      <w:b/>
    </w:rPr>
  </w:style>
  <w:style w:type="character" w:styleId="Pagenumber">
    <w:name w:val="page number"/>
    <w:basedOn w:val="DefaultParagraphFont"/>
    <w:qFormat/>
    <w:rPr/>
  </w:style>
  <w:style w:type="character" w:styleId="Style17">
    <w:name w:val="日付 (文字)"/>
    <w:basedOn w:val="DefaultParagraphFont"/>
    <w:qFormat/>
    <w:rPr>
      <w:rFonts w:ascii="Century" w:hAnsi="Century" w:eastAsia="ＭＳ 明朝"/>
    </w:rPr>
  </w:style>
  <w:style w:type="character" w:styleId="Style18">
    <w:name w:val="書式なし (文字)"/>
    <w:basedOn w:val="DefaultParagraphFont"/>
    <w:qFormat/>
    <w:rPr>
      <w:rFonts w:ascii="ＭＳ ゴシック" w:hAnsi="ＭＳ ゴシック" w:eastAsia="ＭＳ ゴシック"/>
      <w:sz w:val="20"/>
    </w:rPr>
  </w:style>
  <w:style w:type="character" w:styleId="Style19">
    <w:name w:val="記 (文字)"/>
    <w:basedOn w:val="DefaultParagraphFont"/>
    <w:qFormat/>
    <w:rPr>
      <w:rFonts w:ascii="ＭＳ ゴシック" w:hAnsi="ＭＳ ゴシック" w:eastAsia="ＭＳ ゴシック"/>
      <w:color w:val="000000"/>
    </w:rPr>
  </w:style>
  <w:style w:type="character" w:styleId="Style20">
    <w:name w:val="結語 (文字)"/>
    <w:basedOn w:val="DefaultParagraphFont"/>
    <w:qFormat/>
    <w:rPr>
      <w:rFonts w:ascii="ＭＳ ゴシック" w:hAnsi="ＭＳ ゴシック" w:eastAsia="ＭＳ ゴシック"/>
      <w:color w:val="000000"/>
    </w:rPr>
  </w:style>
  <w:style w:type="character" w:styleId="Footnotereference">
    <w:name w:val="footnote reference"/>
    <w:basedOn w:val="DefaultParagraphFont"/>
    <w:qFormat/>
    <w:rPr>
      <w:vertAlign w:val="superscript"/>
    </w:rPr>
  </w:style>
  <w:style w:type="character" w:styleId="Endnotereference">
    <w:name w:val="endnote reference"/>
    <w:basedOn w:val="DefaultParagraphFont"/>
    <w:qFormat/>
    <w:rPr>
      <w:vertAlign w:val="superscrip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OCHeading">
    <w:name w:val="TOC Heading"/>
    <w:basedOn w:val="Heading1"/>
    <w:qFormat/>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sz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rPr>
  </w:style>
  <w:style w:type="paragraph" w:styleId="Revision">
    <w:name w:val="Revision"/>
    <w:qFormat/>
    <w:pPr>
      <w:widowControl/>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paragraph" w:styleId="ListParagraph">
    <w:name w:val="List Paragraph"/>
    <w:basedOn w:val="Normal"/>
    <w:qFormat/>
    <w:pPr>
      <w:ind w:left="840" w:right="0" w:hanging="0"/>
    </w:pPr>
    <w:rPr>
      <w:rFonts w:ascii="Century" w:hAnsi="Century" w:eastAsia="ＭＳ 明朝"/>
    </w:rPr>
  </w:style>
  <w:style w:type="paragraph" w:styleId="Date">
    <w:name w:val="Date"/>
    <w:basedOn w:val="Normal"/>
    <w:qFormat/>
    <w:pPr/>
    <w:rPr>
      <w:rFonts w:ascii="Century" w:hAnsi="Century" w:eastAsia="ＭＳ 明朝"/>
    </w:rPr>
  </w:style>
  <w:style w:type="paragraph" w:styleId="PlainText">
    <w:name w:val="Plain Text"/>
    <w:basedOn w:val="Normal"/>
    <w:qFormat/>
    <w:pPr>
      <w:jc w:val="left"/>
    </w:pPr>
    <w:rPr>
      <w:rFonts w:ascii="ＭＳ ゴシック" w:hAnsi="ＭＳ ゴシック" w:eastAsia="ＭＳ ゴシック"/>
      <w:sz w:val="20"/>
    </w:rPr>
  </w:style>
  <w:style w:type="paragraph" w:styleId="NoteHeading">
    <w:name w:val="Note Heading"/>
    <w:basedOn w:val="Normal"/>
    <w:qFormat/>
    <w:pPr>
      <w:jc w:val="center"/>
    </w:pPr>
    <w:rPr>
      <w:rFonts w:ascii="ＭＳ ゴシック" w:hAnsi="ＭＳ ゴシック" w:eastAsia="ＭＳ ゴシック"/>
      <w:color w:val="000000"/>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26</TotalTime>
  <Application>Plott Corporation</Application>
  <Pages>1</Pages>
  <Words>832</Words>
  <Characters>838</Characters>
  <CharactersWithSpaces>1537</CharactersWithSpaces>
  <Paragraphs>41</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2021-03-18T04:14:00Z</dcterms:created>
  <dc:creator>情報システム厚生課２</dc:creator>
  <dc:description/>
  <dc:language>en-US</dc:language>
  <cp:lastModifiedBy>0153 ida</cp:lastModifiedBy>
  <cp:lastPrinted>2021-03-18T01:29:00Z</cp:lastPrinted>
  <dcterms:modified xsi:type="dcterms:W3CDTF">2023-10-19T01:21:00Z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