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様式第二十二</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rFonts w:ascii="ＭＳ 明朝" w:hAnsi="ＭＳ 明朝"/>
        </w:rPr>
      </w:pPr>
      <w:r>
        <w:rPr>
          <w:rFonts w:ascii="ＭＳ 明朝" w:hAnsi="ＭＳ 明朝"/>
        </w:rPr>
        <w:t>　　　　　　　殿</w:t>
      </w:r>
    </w:p>
    <w:p>
      <w:pPr>
        <w:pStyle w:val="Normal"/>
        <w:rPr/>
      </w:pPr>
      <w:r>
        <w:rPr/>
      </w:r>
    </w:p>
    <w:p>
      <w:pPr>
        <w:pStyle w:val="Normal"/>
        <w:rPr/>
      </w:pPr>
      <w:r>
        <w:rPr/>
      </w:r>
    </w:p>
    <w:p>
      <w:pPr>
        <w:pStyle w:val="Normal"/>
        <w:ind w:left="3360" w:right="0" w:hanging="0"/>
        <w:rPr/>
      </w:pPr>
      <w:r>
        <w:rPr>
          <w:spacing w:val="15"/>
        </w:rPr>
        <w:t>住　　　　</w:t>
      </w:r>
      <w:r>
        <w:rPr>
          <w:spacing w:val="-15"/>
        </w:rPr>
        <w:t>所</w:t>
      </w:r>
      <w:r>
        <w:rPr/>
        <w:t>　〒</w:t>
      </w:r>
    </w:p>
    <w:p>
      <w:pPr>
        <w:pStyle w:val="Normal"/>
        <w:ind w:left="3360" w:right="0" w:hanging="0"/>
        <w:rPr/>
      </w:pPr>
      <w:r>
        <w:rPr>
          <w:spacing w:val="90"/>
        </w:rPr>
        <w:t>名称及</w:t>
      </w:r>
      <w:r>
        <w:rPr>
          <w:spacing w:val="30"/>
        </w:rPr>
        <w:t>び</w:t>
      </w:r>
    </w:p>
    <w:p>
      <w:pPr>
        <w:pStyle w:val="Normal"/>
        <w:ind w:left="3360" w:right="0" w:hanging="0"/>
        <w:rPr/>
      </w:pPr>
      <w:r>
        <w:rPr>
          <w:spacing w:val="15"/>
        </w:rPr>
        <w:t>代表者の氏</w:t>
      </w:r>
      <w:r>
        <w:rPr>
          <w:spacing w:val="-15"/>
        </w:rPr>
        <w:t>名</w:t>
      </w:r>
      <w:r>
        <w:rPr/>
        <w:t>　　　　　　　　　　　　　　　</w:t>
      </w:r>
      <w:r>
        <w:rPr>
          <w:rFonts w:ascii="ＭＳ 明朝" w:hAnsi="ＭＳ 明朝"/>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rPr>
        <w:t>52</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w:t>
      </w:r>
      <w:r>
        <w:rPr>
          <w:rFonts w:ascii="ＭＳ 明朝" w:hAnsi="ＭＳ 明朝"/>
          <w:sz w:val="21"/>
          <w:szCs w:val="21"/>
        </w:rPr>
        <w:t>52</w:t>
      </w:r>
      <w:r>
        <w:rPr>
          <w:rFonts w:ascii="ＭＳ 明朝" w:hAnsi="ＭＳ 明朝"/>
          <w:sz w:val="21"/>
          <w:szCs w:val="21"/>
        </w:rPr>
        <w:t>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right="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right="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left="0" w:right="0"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left="0" w:right="0"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left="0" w:right="0"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right="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left="0" w:right="0"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left="0" w:right="0"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right="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right="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＜建物以外＞以下の欄における「設備等の種類」の欄には、機械及び装置、器具及び備品、工具、建物附属設備並びにソフトウエアの減価償却資産の種類を記載すること。</w:t>
      </w:r>
    </w:p>
    <w:p>
      <w:pPr>
        <w:pStyle w:val="Normal"/>
        <w:widowControl/>
        <w:ind w:left="570" w:right="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＜建物以外＞以下の欄における「設備等の種類別小計」の欄には、減価償却資産の種類ごとの小計値を記載すること。</w:t>
      </w:r>
    </w:p>
    <w:p>
      <w:pPr>
        <w:pStyle w:val="Normal"/>
        <w:widowControl/>
        <w:ind w:left="465" w:right="0"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right="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right="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sz w:val="21"/>
          <w:szCs w:val="21"/>
        </w:rPr>
      </w:pPr>
      <w:r>
        <w:rPr>
          <w:sz w:val="21"/>
          <w:szCs w:val="21"/>
        </w:rPr>
      </w:r>
    </w:p>
    <w:p>
      <w:pPr>
        <w:pStyle w:val="Normal"/>
        <w:widowControl/>
        <w:jc w:val="left"/>
        <w:rPr/>
      </w:pPr>
      <w:r>
        <w:rPr/>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3</Pages>
  <Words>1279</Words>
  <Characters>1281</Characters>
  <CharactersWithSpaces>1381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2021-11-11T23:59:00Z</dcterms:created>
  <dc:creator/>
  <dc:description/>
  <dc:language>en-US</dc:language>
  <cp:lastModifiedBy/>
  <dcterms:modified xsi:type="dcterms:W3CDTF">2021-11-11T23:59:00Z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